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附件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2</w:t>
      </w:r>
      <w:r>
        <w:rPr>
          <w:rFonts w:hint="eastAsia" w:ascii="方正小标宋简体" w:eastAsia="方正小标宋简体"/>
          <w:b/>
          <w:sz w:val="32"/>
          <w:szCs w:val="32"/>
        </w:rPr>
        <w:t>：</w:t>
      </w:r>
    </w:p>
    <w:p>
      <w:pPr>
        <w:jc w:val="center"/>
        <w:rPr>
          <w:rFonts w:hint="eastAsia" w:ascii="方正小标宋简体" w:eastAsia="方正小标宋简体"/>
          <w:b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b/>
          <w:sz w:val="32"/>
          <w:szCs w:val="32"/>
        </w:rPr>
        <w:t>团员评议表</w:t>
      </w:r>
    </w:p>
    <w:bookmarkEnd w:id="0"/>
    <w:tbl>
      <w:tblPr>
        <w:tblStyle w:val="6"/>
        <w:tblW w:w="847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1382"/>
        <w:gridCol w:w="1382"/>
        <w:gridCol w:w="1382"/>
        <w:gridCol w:w="13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  号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5529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评议等次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42" w:type="dxa"/>
            <w:vMerge w:val="continue"/>
          </w:tcPr>
          <w:p/>
        </w:tc>
        <w:tc>
          <w:tcPr>
            <w:tcW w:w="1701" w:type="dxa"/>
            <w:vMerge w:val="continue"/>
          </w:tcPr>
          <w:p/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基本合格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</w:tcPr>
          <w:p/>
        </w:tc>
        <w:tc>
          <w:tcPr>
            <w:tcW w:w="1701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42" w:type="dxa"/>
          </w:tcPr>
          <w:p/>
        </w:tc>
        <w:tc>
          <w:tcPr>
            <w:tcW w:w="1701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</w:tcPr>
          <w:p/>
        </w:tc>
        <w:tc>
          <w:tcPr>
            <w:tcW w:w="1701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</w:tcPr>
          <w:p/>
        </w:tc>
        <w:tc>
          <w:tcPr>
            <w:tcW w:w="1701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42" w:type="dxa"/>
          </w:tcPr>
          <w:p/>
        </w:tc>
        <w:tc>
          <w:tcPr>
            <w:tcW w:w="1701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</w:tcPr>
          <w:p/>
        </w:tc>
        <w:tc>
          <w:tcPr>
            <w:tcW w:w="1701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42" w:type="dxa"/>
          </w:tcPr>
          <w:p/>
        </w:tc>
        <w:tc>
          <w:tcPr>
            <w:tcW w:w="1701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</w:tcPr>
          <w:p/>
        </w:tc>
        <w:tc>
          <w:tcPr>
            <w:tcW w:w="1701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</w:tcPr>
          <w:p/>
        </w:tc>
        <w:tc>
          <w:tcPr>
            <w:tcW w:w="1701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42" w:type="dxa"/>
          </w:tcPr>
          <w:p/>
        </w:tc>
        <w:tc>
          <w:tcPr>
            <w:tcW w:w="1701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</w:tcPr>
          <w:p/>
        </w:tc>
        <w:tc>
          <w:tcPr>
            <w:tcW w:w="1701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42" w:type="dxa"/>
          </w:tcPr>
          <w:p/>
        </w:tc>
        <w:tc>
          <w:tcPr>
            <w:tcW w:w="1701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</w:tcPr>
          <w:p/>
        </w:tc>
        <w:tc>
          <w:tcPr>
            <w:tcW w:w="1701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</w:tcPr>
          <w:p/>
        </w:tc>
        <w:tc>
          <w:tcPr>
            <w:tcW w:w="1701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42" w:type="dxa"/>
          </w:tcPr>
          <w:p/>
        </w:tc>
        <w:tc>
          <w:tcPr>
            <w:tcW w:w="1701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</w:tcPr>
          <w:p/>
        </w:tc>
        <w:tc>
          <w:tcPr>
            <w:tcW w:w="1701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42" w:type="dxa"/>
          </w:tcPr>
          <w:p/>
        </w:tc>
        <w:tc>
          <w:tcPr>
            <w:tcW w:w="1701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</w:tcPr>
          <w:p/>
        </w:tc>
        <w:tc>
          <w:tcPr>
            <w:tcW w:w="1701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</w:tcPr>
          <w:p/>
        </w:tc>
        <w:tc>
          <w:tcPr>
            <w:tcW w:w="1701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42" w:type="dxa"/>
          </w:tcPr>
          <w:p/>
        </w:tc>
        <w:tc>
          <w:tcPr>
            <w:tcW w:w="1701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</w:tcPr>
          <w:p/>
        </w:tc>
        <w:tc>
          <w:tcPr>
            <w:tcW w:w="1701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42" w:type="dxa"/>
          </w:tcPr>
          <w:p/>
        </w:tc>
        <w:tc>
          <w:tcPr>
            <w:tcW w:w="1701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3" w:type="dxa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</w:tcPr>
          <w:p/>
        </w:tc>
        <w:tc>
          <w:tcPr>
            <w:tcW w:w="1701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2" w:type="dxa"/>
          </w:tcPr>
          <w:p/>
        </w:tc>
        <w:tc>
          <w:tcPr>
            <w:tcW w:w="1383" w:type="dxa"/>
          </w:tcPr>
          <w:p/>
        </w:tc>
      </w:tr>
    </w:tbl>
    <w:p>
      <w:pPr>
        <w:jc w:val="left"/>
        <w:rPr>
          <w:rFonts w:ascii="仿宋_GB2312" w:eastAsia="仿宋_GB2312"/>
          <w:sz w:val="24"/>
          <w:szCs w:val="24"/>
        </w:rPr>
      </w:pPr>
      <w:r>
        <w:rPr>
          <w:rFonts w:hint="eastAsia"/>
        </w:rPr>
        <w:t>备注：1、</w:t>
      </w:r>
      <w:r>
        <w:rPr>
          <w:rFonts w:hint="eastAsia" w:ascii="仿宋_GB2312" w:eastAsia="仿宋_GB2312"/>
          <w:sz w:val="24"/>
          <w:szCs w:val="24"/>
        </w:rPr>
        <w:t>重点围绕学习情况、 组织生活会发言情况和日常表现情况对团员进行评议；2、团员评议分“优秀”“合格”“基本合格”“不合格”四个等次，其中优秀等次团员数量应控制在参加评议团员人数的30%以内；3、在对应的等次后划√。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FZXBSJW--GB1-0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叶根友圆趣卡通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2CDB"/>
    <w:rsid w:val="000C4233"/>
    <w:rsid w:val="00370A62"/>
    <w:rsid w:val="005C2CDB"/>
    <w:rsid w:val="00C0345A"/>
    <w:rsid w:val="00F86218"/>
    <w:rsid w:val="00FD04D1"/>
    <w:rsid w:val="4C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2017-12-19T07:28:00Z</dcterms:created>
  <dc:creator>acer</dc:creator>
  <cp:lastModifiedBy>HFUT＆HC</cp:lastModifiedBy>
  <dcterms:modified xsi:type="dcterms:W3CDTF">2017-12-21T08:30:39Z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